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21"/>
        <w:tblOverlap w:val="never"/>
        <w:tblW w:w="5549" w:type="pct"/>
        <w:tblBorders>
          <w:top w:val="single" w:sz="48" w:space="0" w:color="8064A2" w:themeColor="accent4"/>
          <w:left w:val="single" w:sz="48" w:space="0" w:color="8064A2" w:themeColor="accent4"/>
          <w:bottom w:val="single" w:sz="48" w:space="0" w:color="8064A2" w:themeColor="accent4"/>
          <w:right w:val="single" w:sz="48" w:space="0" w:color="8064A2" w:themeColor="accent4"/>
          <w:insideH w:val="single" w:sz="48" w:space="0" w:color="8064A2" w:themeColor="accent4"/>
          <w:insideV w:val="single" w:sz="48" w:space="0" w:color="8064A2" w:themeColor="accent4"/>
        </w:tblBorders>
        <w:shd w:val="clear" w:color="auto" w:fill="FFFFFF" w:themeFill="background1"/>
        <w:tblLook w:val="04A0"/>
      </w:tblPr>
      <w:tblGrid>
        <w:gridCol w:w="9828"/>
      </w:tblGrid>
      <w:tr w:rsidR="0085007A" w:rsidTr="0085007A">
        <w:trPr>
          <w:trHeight w:val="11664"/>
        </w:trPr>
        <w:tc>
          <w:tcPr>
            <w:tcW w:w="5000" w:type="pct"/>
            <w:shd w:val="clear" w:color="auto" w:fill="FFFFFF" w:themeFill="background1"/>
          </w:tcPr>
          <w:p w:rsidR="0085007A" w:rsidRDefault="0085007A" w:rsidP="0085007A">
            <w:pPr>
              <w:pStyle w:val="NoSpacing"/>
              <w:jc w:val="center"/>
            </w:pPr>
          </w:p>
          <w:p w:rsidR="0085007A" w:rsidRPr="0085007A" w:rsidRDefault="0085007A" w:rsidP="0085007A">
            <w:pPr>
              <w:pStyle w:val="NoSpacing"/>
              <w:ind w:left="630" w:right="702"/>
              <w:jc w:val="center"/>
              <w:rPr>
                <w:b/>
                <w:sz w:val="40"/>
              </w:rPr>
            </w:pPr>
            <w:r w:rsidRPr="0085007A">
              <w:rPr>
                <w:b/>
                <w:sz w:val="40"/>
              </w:rPr>
              <w:t>LGBTQI</w:t>
            </w:r>
            <w:r>
              <w:rPr>
                <w:b/>
                <w:sz w:val="40"/>
              </w:rPr>
              <w:t xml:space="preserve">: Learning the </w:t>
            </w:r>
            <w:r w:rsidR="00844092">
              <w:rPr>
                <w:b/>
                <w:sz w:val="40"/>
              </w:rPr>
              <w:t>Lingo</w:t>
            </w:r>
            <w:r>
              <w:rPr>
                <w:b/>
                <w:sz w:val="40"/>
              </w:rPr>
              <w:br/>
            </w:r>
          </w:p>
          <w:p w:rsidR="00844092" w:rsidRPr="00844092" w:rsidRDefault="00844092" w:rsidP="00844092">
            <w:pPr>
              <w:pStyle w:val="NoSpacing"/>
              <w:ind w:left="720" w:right="702"/>
              <w:rPr>
                <w:sz w:val="24"/>
              </w:rPr>
            </w:pPr>
            <w:r w:rsidRPr="00844092">
              <w:rPr>
                <w:b/>
                <w:sz w:val="24"/>
              </w:rPr>
              <w:t>Lesbian</w:t>
            </w:r>
            <w:r w:rsidRPr="00844092">
              <w:rPr>
                <w:sz w:val="24"/>
              </w:rPr>
              <w:t>: a woman whose emotional, romantic and sexual attractions are primarily for other women.</w:t>
            </w:r>
          </w:p>
          <w:p w:rsidR="00844092" w:rsidRPr="00844092" w:rsidRDefault="00844092" w:rsidP="00844092">
            <w:pPr>
              <w:pStyle w:val="NoSpacing"/>
              <w:ind w:left="-810" w:right="702"/>
              <w:rPr>
                <w:b/>
                <w:sz w:val="24"/>
              </w:rPr>
            </w:pPr>
          </w:p>
          <w:p w:rsidR="00844092" w:rsidRDefault="00844092" w:rsidP="00844092">
            <w:pPr>
              <w:pStyle w:val="NoSpacing"/>
              <w:ind w:left="720" w:right="702"/>
              <w:rPr>
                <w:sz w:val="24"/>
              </w:rPr>
            </w:pPr>
            <w:r w:rsidRPr="00844092">
              <w:rPr>
                <w:b/>
                <w:sz w:val="24"/>
              </w:rPr>
              <w:t>Gay</w:t>
            </w:r>
            <w:r w:rsidRPr="00844092">
              <w:rPr>
                <w:sz w:val="24"/>
              </w:rPr>
              <w:t>: a person whose emotional, romantic and sexual attractions are primarily for individuals of the same sex, typically in reference to men. In some contexts, it is still used as a general term for gay men and lesbians.</w:t>
            </w:r>
          </w:p>
          <w:p w:rsidR="00844092" w:rsidRPr="00844092" w:rsidRDefault="00844092" w:rsidP="00844092">
            <w:pPr>
              <w:pStyle w:val="NoSpacing"/>
              <w:ind w:left="720" w:right="702"/>
              <w:rPr>
                <w:sz w:val="24"/>
              </w:rPr>
            </w:pPr>
          </w:p>
          <w:p w:rsidR="0085007A" w:rsidRPr="00844092" w:rsidRDefault="0085007A" w:rsidP="00844092">
            <w:pPr>
              <w:pStyle w:val="NoSpacing"/>
              <w:ind w:left="720" w:right="702"/>
              <w:rPr>
                <w:sz w:val="24"/>
              </w:rPr>
            </w:pPr>
            <w:r w:rsidRPr="00844092">
              <w:rPr>
                <w:b/>
                <w:sz w:val="24"/>
              </w:rPr>
              <w:t>Bisexual</w:t>
            </w:r>
            <w:r w:rsidRPr="00844092">
              <w:rPr>
                <w:sz w:val="24"/>
              </w:rPr>
              <w:t>: a person who is emotionally, romantically and sexually attracted to both men and women.</w:t>
            </w:r>
          </w:p>
          <w:p w:rsidR="0085007A" w:rsidRPr="00844092" w:rsidRDefault="0085007A" w:rsidP="00844092">
            <w:pPr>
              <w:pStyle w:val="NoSpacing"/>
              <w:ind w:left="-810" w:right="702"/>
              <w:rPr>
                <w:sz w:val="24"/>
              </w:rPr>
            </w:pPr>
          </w:p>
          <w:p w:rsidR="00844092" w:rsidRDefault="00844092" w:rsidP="00844092">
            <w:pPr>
              <w:pStyle w:val="NoSpacing"/>
              <w:ind w:left="720" w:right="702"/>
              <w:rPr>
                <w:sz w:val="24"/>
                <w:szCs w:val="24"/>
              </w:rPr>
            </w:pPr>
            <w:r w:rsidRPr="00844092">
              <w:rPr>
                <w:b/>
                <w:sz w:val="24"/>
                <w:szCs w:val="24"/>
              </w:rPr>
              <w:t>Transgender</w:t>
            </w:r>
            <w:r w:rsidRPr="00844092">
              <w:rPr>
                <w:sz w:val="24"/>
                <w:szCs w:val="24"/>
              </w:rPr>
              <w:t>: a person whose gender identity (i.e., internal sense of feeling male or female) is different from the person’s assigned sex at birth.</w:t>
            </w:r>
          </w:p>
          <w:p w:rsidR="00844092" w:rsidRPr="00844092" w:rsidRDefault="00844092" w:rsidP="00844092">
            <w:pPr>
              <w:pStyle w:val="NoSpacing"/>
              <w:ind w:left="720" w:right="702"/>
              <w:rPr>
                <w:sz w:val="24"/>
                <w:szCs w:val="24"/>
              </w:rPr>
            </w:pPr>
          </w:p>
          <w:p w:rsidR="0085007A" w:rsidRPr="00844092" w:rsidRDefault="0085007A" w:rsidP="00844092">
            <w:pPr>
              <w:pStyle w:val="NoSpacing"/>
              <w:ind w:left="720" w:right="702"/>
              <w:rPr>
                <w:sz w:val="24"/>
              </w:rPr>
            </w:pPr>
            <w:r w:rsidRPr="00844092">
              <w:rPr>
                <w:b/>
                <w:sz w:val="24"/>
              </w:rPr>
              <w:t>Gender nonconforming:</w:t>
            </w:r>
            <w:r w:rsidRPr="00844092">
              <w:rPr>
                <w:sz w:val="24"/>
              </w:rPr>
              <w:t xml:space="preserve"> </w:t>
            </w:r>
            <w:bookmarkStart w:id="0" w:name="_GoBack"/>
            <w:bookmarkEnd w:id="0"/>
            <w:r w:rsidRPr="00844092">
              <w:rPr>
                <w:sz w:val="24"/>
              </w:rPr>
              <w:t>a person whose appearance or manner does not conform to traditional societal gender expectations.</w:t>
            </w:r>
          </w:p>
          <w:p w:rsidR="0085007A" w:rsidRPr="00844092" w:rsidRDefault="0085007A" w:rsidP="00844092">
            <w:pPr>
              <w:pStyle w:val="NoSpacing"/>
              <w:ind w:left="-810" w:right="702"/>
              <w:rPr>
                <w:sz w:val="24"/>
              </w:rPr>
            </w:pPr>
          </w:p>
          <w:p w:rsidR="00844092" w:rsidRDefault="00844092" w:rsidP="00844092">
            <w:pPr>
              <w:pStyle w:val="NoSpacing"/>
              <w:ind w:left="720" w:right="702"/>
              <w:rPr>
                <w:sz w:val="24"/>
                <w:szCs w:val="24"/>
              </w:rPr>
            </w:pPr>
            <w:r w:rsidRPr="00844092">
              <w:rPr>
                <w:b/>
                <w:sz w:val="24"/>
              </w:rPr>
              <w:t>Questioning</w:t>
            </w:r>
            <w:r w:rsidRPr="00844092">
              <w:rPr>
                <w:sz w:val="24"/>
              </w:rPr>
              <w:t xml:space="preserve">: an active process in which a person explores his or her own sexual orientation and/or gender identity and questions the cultural assumptions that he or she is heterosexual and/or gender-conforming. Many LGBT people go through </w:t>
            </w:r>
            <w:r w:rsidRPr="00844092">
              <w:rPr>
                <w:sz w:val="24"/>
                <w:szCs w:val="24"/>
              </w:rPr>
              <w:t>this process before “coming out.” Not all people who question their identities end up self-identifying as LGBT.</w:t>
            </w:r>
          </w:p>
          <w:p w:rsidR="00844092" w:rsidRPr="00844092" w:rsidRDefault="00844092" w:rsidP="00844092">
            <w:pPr>
              <w:pStyle w:val="NoSpacing"/>
              <w:ind w:left="720" w:right="702"/>
              <w:rPr>
                <w:sz w:val="24"/>
                <w:szCs w:val="24"/>
              </w:rPr>
            </w:pPr>
          </w:p>
          <w:p w:rsidR="0085007A" w:rsidRPr="00844092" w:rsidRDefault="0085007A" w:rsidP="00844092">
            <w:pPr>
              <w:pStyle w:val="NoSpacing"/>
              <w:ind w:left="720" w:right="702"/>
              <w:rPr>
                <w:sz w:val="24"/>
              </w:rPr>
            </w:pPr>
            <w:r w:rsidRPr="00844092">
              <w:rPr>
                <w:b/>
                <w:sz w:val="24"/>
              </w:rPr>
              <w:t>Intersex</w:t>
            </w:r>
            <w:r w:rsidRPr="00844092">
              <w:rPr>
                <w:sz w:val="24"/>
              </w:rPr>
              <w:t xml:space="preserve">: a person </w:t>
            </w:r>
            <w:proofErr w:type="gramStart"/>
            <w:r w:rsidRPr="00844092">
              <w:rPr>
                <w:sz w:val="24"/>
              </w:rPr>
              <w:t>whose</w:t>
            </w:r>
            <w:proofErr w:type="gramEnd"/>
            <w:r w:rsidRPr="00844092">
              <w:rPr>
                <w:sz w:val="24"/>
              </w:rPr>
              <w:t xml:space="preserve"> sexual or reproductive anatomy or chromosomal pattern does not seem to fit typical definitions of male or female. Intersex medical conditions are sometimes referred to as disorders of sex development. </w:t>
            </w:r>
          </w:p>
          <w:p w:rsidR="00844092" w:rsidRDefault="00844092" w:rsidP="00844092">
            <w:pPr>
              <w:pStyle w:val="NoSpacing"/>
              <w:ind w:left="720" w:right="702"/>
              <w:rPr>
                <w:b/>
                <w:sz w:val="24"/>
                <w:szCs w:val="24"/>
              </w:rPr>
            </w:pPr>
            <w:r w:rsidRPr="00844092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 xml:space="preserve">For more information: </w:t>
            </w:r>
          </w:p>
          <w:p w:rsidR="00844092" w:rsidRDefault="00844092" w:rsidP="00844092">
            <w:pPr>
              <w:pStyle w:val="NoSpacing"/>
              <w:numPr>
                <w:ilvl w:val="0"/>
                <w:numId w:val="3"/>
              </w:numPr>
              <w:ind w:right="702"/>
              <w:rPr>
                <w:sz w:val="24"/>
                <w:szCs w:val="24"/>
              </w:rPr>
            </w:pPr>
            <w:r w:rsidRPr="00844092">
              <w:rPr>
                <w:sz w:val="24"/>
                <w:szCs w:val="24"/>
              </w:rPr>
              <w:t>The Equity Project</w:t>
            </w:r>
            <w:r>
              <w:rPr>
                <w:sz w:val="24"/>
                <w:szCs w:val="24"/>
              </w:rPr>
              <w:t xml:space="preserve">: </w:t>
            </w:r>
            <w:r>
              <w:t xml:space="preserve"> </w:t>
            </w:r>
            <w:hyperlink r:id="rId6" w:history="1">
              <w:r w:rsidRPr="00FC19FA">
                <w:rPr>
                  <w:rStyle w:val="Hyperlink"/>
                  <w:sz w:val="24"/>
                  <w:szCs w:val="24"/>
                </w:rPr>
                <w:t>http://www.equityproject.org/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844092" w:rsidRPr="00844092" w:rsidRDefault="00844092" w:rsidP="00844092">
            <w:pPr>
              <w:pStyle w:val="NoSpacing"/>
              <w:numPr>
                <w:ilvl w:val="0"/>
                <w:numId w:val="3"/>
              </w:numPr>
              <w:ind w:right="7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PREA Standards for Juvenile Facilities: </w:t>
            </w:r>
            <w:r>
              <w:t xml:space="preserve"> </w:t>
            </w:r>
            <w:hyperlink r:id="rId7" w:history="1">
              <w:r w:rsidRPr="00FC19FA">
                <w:rPr>
                  <w:rStyle w:val="Hyperlink"/>
                  <w:sz w:val="24"/>
                  <w:szCs w:val="24"/>
                </w:rPr>
                <w:t>http://www.prearesourcecenter.org/training-technical-assistance/prea-101/juvenile-facility-standards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844092" w:rsidRDefault="00844092" w:rsidP="00844092">
            <w:pPr>
              <w:pStyle w:val="NoSpacing"/>
              <w:ind w:left="720" w:right="702"/>
              <w:rPr>
                <w:sz w:val="24"/>
                <w:szCs w:val="24"/>
              </w:rPr>
            </w:pPr>
          </w:p>
          <w:p w:rsidR="00844092" w:rsidRPr="00844092" w:rsidRDefault="00844092" w:rsidP="00844092">
            <w:pPr>
              <w:pStyle w:val="NoSpacing"/>
              <w:ind w:left="720" w:right="702"/>
              <w:rPr>
                <w:sz w:val="24"/>
                <w:szCs w:val="24"/>
              </w:rPr>
            </w:pPr>
          </w:p>
          <w:p w:rsidR="00844092" w:rsidRPr="00844092" w:rsidRDefault="00844092" w:rsidP="00844092">
            <w:pPr>
              <w:pStyle w:val="NoSpacing"/>
              <w:jc w:val="center"/>
              <w:rPr>
                <w:i/>
              </w:rPr>
            </w:pPr>
            <w:r w:rsidRPr="00844092">
              <w:rPr>
                <w:i/>
                <w:sz w:val="24"/>
                <w:szCs w:val="24"/>
              </w:rPr>
              <w:t>Prepared by the Center for Children’s Law and Policy.</w:t>
            </w:r>
          </w:p>
        </w:tc>
      </w:tr>
    </w:tbl>
    <w:sdt>
      <w:sdtPr>
        <w:id w:val="14609307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85007A" w:rsidRDefault="0085007A"/>
        <w:p w:rsidR="0085007A" w:rsidRDefault="0085007A">
          <w:r>
            <w:rPr>
              <w:noProof/>
              <w:lang w:eastAsia="zh-TW"/>
            </w:rPr>
            <w:pict>
              <v:rect id="_x0000_s1026" style="position:absolute;margin-left:0;margin-top:0;width:612pt;height:11in;z-index:-251658240;mso-width-percent:1000;mso-height-percent:1000;mso-position-horizontal:center;mso-position-horizontal-relative:page;mso-position-vertical:center;mso-position-vertical-relative:page;mso-width-percent:1000;mso-height-percent:1000" o:allowincell="f" stroked="f">
                <v:textbox style="mso-next-textbox:#_x0000_s1026">
                  <w:txbxContent>
                    <w:p w:rsidR="0085007A" w:rsidRPr="0085007A" w:rsidRDefault="0085007A">
                      <w:pPr>
                        <w:rPr>
                          <w:rFonts w:asciiTheme="majorHAnsi" w:eastAsiaTheme="majorEastAsia" w:hAnsiTheme="majorHAnsi" w:cstheme="majorBidi"/>
                          <w:color w:val="D9D9D9" w:themeColor="background1" w:themeShade="D9"/>
                          <w:sz w:val="96"/>
                          <w:szCs w:val="96"/>
                        </w:rPr>
                      </w:pPr>
                      <w:r w:rsidRPr="0085007A">
                        <w:rPr>
                          <w:rFonts w:asciiTheme="majorHAnsi" w:eastAsiaTheme="majorEastAsia" w:hAnsiTheme="majorHAnsi" w:cstheme="majorBidi"/>
                          <w:color w:val="D9D9D9" w:themeColor="background1" w:themeShade="D9"/>
                          <w:sz w:val="72"/>
                          <w:szCs w:val="72"/>
                        </w:rPr>
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</w:r>
                      <w:r w:rsidRPr="0085007A">
                        <w:rPr>
                          <w:rFonts w:asciiTheme="majorHAnsi" w:eastAsiaTheme="majorEastAsia" w:hAnsiTheme="majorHAnsi" w:cstheme="majorBidi"/>
                          <w:color w:val="D9D9D9" w:themeColor="background1" w:themeShade="D9"/>
                          <w:sz w:val="72"/>
                          <w:szCs w:val="72"/>
                          <w:u w:val="single"/>
                        </w:rPr>
                        <w:t>xcvbnmqwertyuiopasdfghjklzxcvbnmqw</w:t>
                      </w:r>
                      <w:r w:rsidRPr="0085007A">
                        <w:rPr>
                          <w:rFonts w:asciiTheme="majorHAnsi" w:eastAsiaTheme="majorEastAsia" w:hAnsiTheme="majorHAnsi" w:cstheme="majorBidi"/>
                          <w:color w:val="D9D9D9" w:themeColor="background1" w:themeShade="D9"/>
                          <w:sz w:val="72"/>
                          <w:szCs w:val="72"/>
                        </w:rPr>
                        <w:t>ertyuiopasdfghjklzxcvbnm</w:t>
                      </w:r>
                    </w:p>
                  </w:txbxContent>
                </v:textbox>
                <w10:wrap anchorx="page" anchory="page"/>
              </v:rect>
            </w:pict>
          </w:r>
        </w:p>
        <w:p w:rsidR="00530BE4" w:rsidRPr="0085007A" w:rsidRDefault="0085007A">
          <w:pPr>
            <w:rPr>
              <w:b/>
            </w:rPr>
          </w:pPr>
        </w:p>
      </w:sdtContent>
    </w:sdt>
    <w:sectPr w:rsidR="00530BE4" w:rsidRPr="0085007A" w:rsidSect="0085007A"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74EA3"/>
    <w:multiLevelType w:val="hybridMultilevel"/>
    <w:tmpl w:val="2A0A0CB8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57FB7F81"/>
    <w:multiLevelType w:val="hybridMultilevel"/>
    <w:tmpl w:val="A39AC0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E6140A"/>
    <w:multiLevelType w:val="hybridMultilevel"/>
    <w:tmpl w:val="E9920C7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530BE4"/>
    <w:rsid w:val="000D11A0"/>
    <w:rsid w:val="001572D2"/>
    <w:rsid w:val="003B4A97"/>
    <w:rsid w:val="00530BE4"/>
    <w:rsid w:val="00844092"/>
    <w:rsid w:val="0085007A"/>
    <w:rsid w:val="00AC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BE4"/>
    <w:rPr>
      <w:rFonts w:ascii="Times New Roman" w:eastAsiaTheme="minorHAnsi" w:hAnsi="Times New Roman" w:cs="Times New Roman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5007A"/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85007A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07A"/>
    <w:rPr>
      <w:rFonts w:ascii="Tahoma" w:eastAsiaTheme="minorHAns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40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BE4"/>
    <w:rPr>
      <w:rFonts w:ascii="Times New Roman" w:eastAsiaTheme="minorHAnsi" w:hAnsi="Times New Roman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rearesourcecenter.org/training-technical-assistance/prea-101/juvenile-facility-standard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quityproject.org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47B63"/>
    <w:rsid w:val="0054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4E72ABFA71A417A9C415D77DB596079">
    <w:name w:val="E4E72ABFA71A417A9C415D77DB596079"/>
    <w:rsid w:val="00547B63"/>
  </w:style>
  <w:style w:type="paragraph" w:customStyle="1" w:styleId="8AD18AEF9B9E4FABBD15D6FE28F00DCF">
    <w:name w:val="8AD18AEF9B9E4FABBD15D6FE28F00DCF"/>
    <w:rsid w:val="00547B63"/>
  </w:style>
  <w:style w:type="paragraph" w:customStyle="1" w:styleId="3AB566E32019412BBA0138EC080F12F7">
    <w:name w:val="3AB566E32019412BBA0138EC080F12F7"/>
    <w:rsid w:val="00547B63"/>
  </w:style>
  <w:style w:type="paragraph" w:customStyle="1" w:styleId="FD93C1735AF8488FB76602595B4A8907">
    <w:name w:val="FD93C1735AF8488FB76602595B4A8907"/>
    <w:rsid w:val="00547B63"/>
  </w:style>
  <w:style w:type="paragraph" w:customStyle="1" w:styleId="D9C9920D36EE4BF2A6C063F1E281B3F6">
    <w:name w:val="D9C9920D36EE4BF2A6C063F1E281B3F6"/>
    <w:rsid w:val="00547B63"/>
  </w:style>
  <w:style w:type="paragraph" w:customStyle="1" w:styleId="56CE0D1546D440019AAD74642A098E06">
    <w:name w:val="56CE0D1546D440019AAD74642A098E06"/>
    <w:rsid w:val="00547B63"/>
  </w:style>
  <w:style w:type="paragraph" w:customStyle="1" w:styleId="0E8D53D652B345169D4C4F8FE2AB0DA3">
    <w:name w:val="0E8D53D652B345169D4C4F8FE2AB0DA3"/>
    <w:rsid w:val="00547B63"/>
  </w:style>
  <w:style w:type="paragraph" w:customStyle="1" w:styleId="22F6A845D0C748F084407EA4FDE21AE0">
    <w:name w:val="22F6A845D0C748F084407EA4FDE21AE0"/>
    <w:rsid w:val="00547B63"/>
  </w:style>
  <w:style w:type="paragraph" w:customStyle="1" w:styleId="1B1EBBD54C7C4E0D9FAAC12251D0ECB3">
    <w:name w:val="1B1EBBD54C7C4E0D9FAAC12251D0ECB3"/>
    <w:rsid w:val="00547B63"/>
  </w:style>
  <w:style w:type="paragraph" w:customStyle="1" w:styleId="09A4E2933CD94034965FE562A1F1451A">
    <w:name w:val="09A4E2933CD94034965FE562A1F1451A"/>
    <w:rsid w:val="00547B63"/>
  </w:style>
  <w:style w:type="paragraph" w:customStyle="1" w:styleId="152512C6B9ED40839B5E64321B376349">
    <w:name w:val="152512C6B9ED40839B5E64321B376349"/>
    <w:rsid w:val="00547B63"/>
  </w:style>
  <w:style w:type="paragraph" w:customStyle="1" w:styleId="0EC01851F1AC41EA8330570A0FFFB479">
    <w:name w:val="0EC01851F1AC41EA8330570A0FFFB479"/>
    <w:rsid w:val="00547B63"/>
  </w:style>
  <w:style w:type="paragraph" w:customStyle="1" w:styleId="49B4F8950470452A8CB48E582B26C1E6">
    <w:name w:val="49B4F8950470452A8CB48E582B26C1E6"/>
    <w:rsid w:val="00547B63"/>
  </w:style>
  <w:style w:type="paragraph" w:customStyle="1" w:styleId="9C86DF69618D440D8FA93AA043520A6A">
    <w:name w:val="9C86DF69618D440D8FA93AA043520A6A"/>
    <w:rsid w:val="00547B63"/>
  </w:style>
  <w:style w:type="paragraph" w:customStyle="1" w:styleId="D7B93482A8764F0C985C6778FCD7C8DE">
    <w:name w:val="D7B93482A8764F0C985C6778FCD7C8DE"/>
    <w:rsid w:val="00547B63"/>
  </w:style>
  <w:style w:type="paragraph" w:customStyle="1" w:styleId="C0577D7420684FF19AF028B89EAB553F">
    <w:name w:val="C0577D7420684FF19AF028B89EAB553F"/>
    <w:rsid w:val="00547B63"/>
  </w:style>
  <w:style w:type="paragraph" w:customStyle="1" w:styleId="C8830FE858384CE39D7CDA55A0FC8563">
    <w:name w:val="C8830FE858384CE39D7CDA55A0FC8563"/>
    <w:rsid w:val="00547B63"/>
  </w:style>
  <w:style w:type="paragraph" w:customStyle="1" w:styleId="B50D444AA48A46AA8BCCDDC42E96B515">
    <w:name w:val="B50D444AA48A46AA8BCCDDC42E96B515"/>
    <w:rsid w:val="00547B63"/>
  </w:style>
  <w:style w:type="paragraph" w:customStyle="1" w:styleId="8076CFF646CD48CB999E13221FFFD3DF">
    <w:name w:val="8076CFF646CD48CB999E13221FFFD3DF"/>
    <w:rsid w:val="00547B63"/>
  </w:style>
  <w:style w:type="paragraph" w:customStyle="1" w:styleId="51E60AD8A41F4AB0A73E2B6B0A387563">
    <w:name w:val="51E60AD8A41F4AB0A73E2B6B0A387563"/>
    <w:rsid w:val="00547B6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0E757-AF3D-4CDD-9F0B-35A4DCA50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CCLP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Ters</dc:title>
  <dc:creator>Dana Shoe</dc:creator>
  <cp:lastModifiedBy>Revisions from Experts</cp:lastModifiedBy>
  <cp:revision>2</cp:revision>
  <dcterms:created xsi:type="dcterms:W3CDTF">2014-04-04T18:34:00Z</dcterms:created>
  <dcterms:modified xsi:type="dcterms:W3CDTF">2014-04-04T18:34:00Z</dcterms:modified>
</cp:coreProperties>
</file>